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广东外语外贸大学南国商学院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年艺术教育发展年度报告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根据《广东省教育厅办公室关于报送2022年全省高校及中小学校艺术教育发展年度报告的通知》精神和要求，现就我校2</w:t>
      </w:r>
      <w:r>
        <w:rPr>
          <w:rFonts w:ascii="仿宋_GB2312" w:hAnsi="仿宋_GB2312" w:eastAsia="仿宋_GB2312" w:cs="仿宋_GB2312"/>
          <w:sz w:val="32"/>
          <w:szCs w:val="32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年艺术教育发展报告情况如下：</w:t>
      </w:r>
    </w:p>
    <w:p>
      <w:pPr>
        <w:spacing w:line="560" w:lineRule="exact"/>
        <w:ind w:firstLine="645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一、艺术教育管理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以外国语言文学、应用经济学、工商管理等一级学科为主体，文、经、管、工、教、法、艺等学科门类相互支撑、协调发展。我校以立德树人为根本任务，重视艺术教育在人才培养中的重要作用，积极探索开展艺术教育的新路径和新方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健全美育工作领导机制，切实推动艺术素质教育工作的开展，我校成立了学校美育工作领导小组，由学校党委书记任组长，分管教学工作和分管校园文化建设的校领导任副组长，党委宣传部、校团委、学生处、教务处、科研处、发展规划处、人事处、财务处等相关职能部门以及各二级学院为小组成员单位。领导小组办公室设在教务处，负责规划和指导全校美育工作的开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校美育工作领导小组的指导下，以团委、教务处、学生处、党委宣传部、校工会、教育学院、中国语言文化学院为实施艺术素质教育的主体单位，将校园文化活动和公共艺术课程紧密结合，共同搭建起我校艺术教育的工作平台。团委、学生处、党委宣传部主要负责校园文化活动的组织与开展，教务处、教育学院、中国语言文化学院等部门主要负责公共艺术课程建设的具体实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二、公共艺术课程建设</w:t>
      </w:r>
      <w:r>
        <w:rPr>
          <w:rFonts w:hint="eastAsia" w:ascii="黑体" w:hAnsi="黑体" w:eastAsia="黑体" w:cs="黑体"/>
          <w:bCs/>
          <w:sz w:val="32"/>
          <w:szCs w:val="32"/>
        </w:rPr>
        <w:br w:type="textWrapping"/>
      </w:r>
      <w:r>
        <w:rPr>
          <w:rFonts w:hint="eastAsia" w:ascii="仿宋_GB2312" w:eastAsia="仿宋_GB2312" w:hAnsiTheme="majorEastAsia"/>
          <w:sz w:val="28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按照《全国普通高等学校公共艺术课程指导方案》（教体艺厅</w:t>
      </w:r>
      <w:r>
        <w:rPr>
          <w:rFonts w:hint="eastAsia" w:ascii="微软雅黑" w:hAnsi="微软雅黑" w:eastAsia="微软雅黑" w:cs="微软雅黑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2006</w:t>
      </w:r>
      <w:r>
        <w:rPr>
          <w:rFonts w:hint="eastAsia" w:ascii="微软雅黑" w:hAnsi="微软雅黑" w:eastAsia="微软雅黑" w:cs="微软雅黑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3号）的要求，我校积极创造条件,开设了较丰富的公共艺术课程供学生学习。其中自主建设并开设的公共艺术选修课程有《爵士舞》《音乐欣赏》《中国非物质文化体验与创作》《书法临摹与创作训练》《色彩美学原理与应用》《抽象艺术学》《朗读与吟诵》《红楼梦写作艺术鉴赏》《中华传统文化之戏曲瑰宝》《舞蹈形体》《篆刻赏析与实践》《茶文化与茶艺》《园林花卉文化与鉴赏》等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门，引进超星尔雅公共艺术类网络课程3门，上述课程涉及音乐、舞蹈、美术、文学、哲学、体育、戏曲、建筑等多个领域 ，大大拓展了学生选择的空间，让学生在学习中接受艺术熏陶，提升艺术素养。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自2019级学生开始，学校将公共艺术课程作为限定性选修课纳入人才培养方案，实行学分管理，每位学生在校学习期间至少要修读1门公共艺术课程，通过考核获得2个学分方能毕业。</w:t>
      </w:r>
    </w:p>
    <w:p>
      <w:pPr>
        <w:spacing w:line="560" w:lineRule="exact"/>
        <w:ind w:firstLine="645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三、艺术教师配备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ascii="仿宋_GB2312" w:hAnsi="仿宋_GB2312" w:eastAsia="仿宋_GB2312" w:cs="仿宋_GB2312"/>
          <w:sz w:val="32"/>
          <w:szCs w:val="32"/>
        </w:rPr>
        <w:t>国家有关规定配备从事艺术教育的教师，做好教师的培训、管理工作，为教师提供必要的工作条件。从事艺术教育的教师具有比较全面的专业理论、知识和技能，有较高的教学能力，有组织课外艺术表演、竞赛的能力和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</w:t>
      </w:r>
      <w:r>
        <w:rPr>
          <w:rFonts w:ascii="仿宋_GB2312" w:hAnsi="仿宋_GB2312" w:eastAsia="仿宋_GB2312" w:cs="仿宋_GB2312"/>
          <w:sz w:val="32"/>
          <w:szCs w:val="32"/>
        </w:rPr>
        <w:t>科研能力。学校现有从事艺术教育的教师29人。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师资类别结构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音乐教育9人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艺术设计4人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舞蹈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ascii="仿宋_GB2312" w:hAnsi="仿宋_GB2312" w:eastAsia="仿宋_GB2312" w:cs="仿宋_GB2312"/>
          <w:sz w:val="32"/>
          <w:szCs w:val="32"/>
        </w:rPr>
        <w:t>3人（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ascii="仿宋_GB2312" w:hAnsi="仿宋_GB2312" w:eastAsia="仿宋_GB2312" w:cs="仿宋_GB2312"/>
          <w:sz w:val="32"/>
          <w:szCs w:val="32"/>
        </w:rPr>
        <w:t>健美操、瑜珈等体育舞蹈），美术教育2人，书法教育1人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，教育学1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师资职称结构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教授5人，副教授4人，讲师14人，助教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sz w:val="32"/>
          <w:szCs w:val="32"/>
        </w:rPr>
        <w:t>师资学历结构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博士5人，硕士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8人，学士6人。</w:t>
      </w:r>
    </w:p>
    <w:p>
      <w:pPr>
        <w:spacing w:line="560" w:lineRule="exact"/>
        <w:ind w:firstLine="645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四、艺术教育经费投入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年，我校艺术教育经费分布在团委、学生处、党委宣传部、教育学院、中国语言文化学院等职能部门和教学单位的运行经费中，总投入为</w:t>
      </w:r>
      <w:r>
        <w:rPr>
          <w:rFonts w:ascii="仿宋_GB2312" w:hAnsi="仿宋_GB2312" w:eastAsia="仿宋_GB2312" w:cs="仿宋_GB2312"/>
          <w:sz w:val="32"/>
          <w:szCs w:val="32"/>
        </w:rPr>
        <w:t>646811.45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560" w:lineRule="exact"/>
        <w:ind w:firstLine="645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五、校园文化活动情况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以校级活动品牌化、院级活动特色化、班级活动大众化为原则，打造校园文化精品，推动校园文化繁荣发展。开展校园文化艺术节、校园科技学术节、社团文化节、阳光体育节等贴近时代背景、符合青年学生成长成才的精品特色活动。搭建逐梦舞台，举办主旋律、高品位的文体活动，营造健康向上、丰富多彩的校园文化。</w:t>
      </w:r>
    </w:p>
    <w:p>
      <w:pPr>
        <w:spacing w:line="560" w:lineRule="exact"/>
        <w:ind w:firstLine="643" w:firstLineChars="200"/>
        <w:rPr>
          <w:rFonts w:ascii="楷体" w:hAnsi="楷体" w:eastAsia="楷体" w:cs="楷体_GB2312"/>
          <w:b/>
          <w:bCs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(一)学生社团活动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精品社团建设，举办多彩社团活动，引导学生自主发展。开创社韵芳华“小舞台”快闪品牌活动，累计演出30余场；2022年发布“心动加满UP！UP！”推文共8篇，共计2800人次阅读。社团参与数20个，社员参与人数总计208人。活动观众上席率均能达到80%。培育传统文化周品牌系列活动，增加活动传统文化元素，为社团提供传统文化展示平台，让传统文化更好地根植于校园文化之中。</w:t>
      </w:r>
    </w:p>
    <w:p>
      <w:pPr>
        <w:spacing w:line="560" w:lineRule="exact"/>
        <w:ind w:firstLine="643" w:firstLineChars="200"/>
        <w:rPr>
          <w:rFonts w:ascii="楷体" w:hAnsi="楷体" w:eastAsia="楷体" w:cs="楷体_GB2312"/>
          <w:b/>
          <w:bCs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（二）校园文化精品项目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响应“文明其精神，野蛮其体魄”的号召，将身体健康与体育活动有机结合，举办新生杯拔河赛、篮球联赛、趣味运动会等系列活动，以体育活动凝聚学生团结奋斗正能量。打造“阳光体育节”品牌名片，提升活动的知名度和影响力，推动学生强身健体塑造计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美育为主要载体，不断丰富和拓展党史学习教育的内涵和外延。在五四青年节到来之际，开展“展示青春风采，献礼建团百年”主题升旗仪式，共同庆祝中国共产主义青年团成立100周年。校团委文化艺术中心诗歌朗诵《团旗飘扬》，“牢记历史有担当，团旗飘扬写青春”，青年们用清亮的嗓音诉说着对共青团的热爱，用慷慨激昂的语调表达出为祖国奉献的坚定信念。</w:t>
      </w:r>
    </w:p>
    <w:p>
      <w:pPr>
        <w:spacing w:line="560" w:lineRule="exact"/>
        <w:ind w:firstLine="643" w:firstLineChars="200"/>
        <w:rPr>
          <w:rFonts w:ascii="楷体" w:hAnsi="楷体" w:eastAsia="楷体" w:cs="楷体_GB2312"/>
          <w:b/>
          <w:bCs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（三）文艺类项目获奖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广东省教育厅主办的广东省大学生优秀艺术团队交流展示活动中，校团委文化艺术中心舞蹈分团演绎的《红船》荣获舞蹈类甲组二等奖，“红船精神”是中国共产党的原点和初心，舞蹈《红船》展现了年轻一辈的坚定理想、百折不挠的奋斗精神。原创剧目《吾思》荣获戏曲类甲组三等奖。“吾思”当属吾辈青年之思，作为21世纪的新时代青年，要传承五四精神，学习先进的思想，守正创新、继往开来。</w:t>
      </w:r>
    </w:p>
    <w:p>
      <w:pPr>
        <w:spacing w:line="560" w:lineRule="exact"/>
        <w:ind w:firstLine="645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六、艺术教育设施设备建设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重视对艺术教育硬件设施的支持，想方设法提供艺术教育教学开展所需的硬件条件。学校加大艺术教育基础设施建设，建成绘画实训室、钢琴实训室、电钢琴实训室、舞蹈室、学生活动中心、跆拳道馆、体操室、</w:t>
      </w:r>
      <w:r>
        <w:rPr>
          <w:rFonts w:ascii="仿宋_GB2312" w:hAnsi="仿宋_GB2312" w:eastAsia="仿宋_GB2312" w:cs="仿宋_GB2312"/>
          <w:sz w:val="32"/>
          <w:szCs w:val="32"/>
        </w:rPr>
        <w:t>少儿教育多功能实训室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、文化广场等场地，并配置了相应的教学仪器设备。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学校积极为学生创造良好的校园文化艺术环境。科学规划校园基础建设，讲究种植花草树木，修建精美亭台楼阁，为学校美育工作的开展营造格调高雅、富有美感、充满朝气的校园文化环境。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广东外语外贸大学南国商学院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</w:t>
      </w: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ZhMzAzYTFmNzljYjU5NTdmYTc5MTE0Njg4M2FjYjMifQ=="/>
  </w:docVars>
  <w:rsids>
    <w:rsidRoot w:val="00EE5620"/>
    <w:rsid w:val="00006493"/>
    <w:rsid w:val="00011250"/>
    <w:rsid w:val="00034A9F"/>
    <w:rsid w:val="00055B6B"/>
    <w:rsid w:val="0006622B"/>
    <w:rsid w:val="000730C3"/>
    <w:rsid w:val="000A0840"/>
    <w:rsid w:val="00101EB9"/>
    <w:rsid w:val="00181DF0"/>
    <w:rsid w:val="00185E1F"/>
    <w:rsid w:val="002021B3"/>
    <w:rsid w:val="00237E58"/>
    <w:rsid w:val="002401E8"/>
    <w:rsid w:val="00240CBA"/>
    <w:rsid w:val="00244EC1"/>
    <w:rsid w:val="0025175E"/>
    <w:rsid w:val="002C482D"/>
    <w:rsid w:val="002D7264"/>
    <w:rsid w:val="002E6745"/>
    <w:rsid w:val="003321B7"/>
    <w:rsid w:val="00333053"/>
    <w:rsid w:val="003332FA"/>
    <w:rsid w:val="00361D0F"/>
    <w:rsid w:val="00373525"/>
    <w:rsid w:val="003816E9"/>
    <w:rsid w:val="0038265E"/>
    <w:rsid w:val="003943D5"/>
    <w:rsid w:val="003950CD"/>
    <w:rsid w:val="003A1B78"/>
    <w:rsid w:val="003B0519"/>
    <w:rsid w:val="003D2FAC"/>
    <w:rsid w:val="003D42AB"/>
    <w:rsid w:val="003E0A92"/>
    <w:rsid w:val="003F1751"/>
    <w:rsid w:val="003F1ABC"/>
    <w:rsid w:val="0040153C"/>
    <w:rsid w:val="00426E3D"/>
    <w:rsid w:val="00434798"/>
    <w:rsid w:val="00461C97"/>
    <w:rsid w:val="004644D5"/>
    <w:rsid w:val="004754DB"/>
    <w:rsid w:val="00480424"/>
    <w:rsid w:val="004A1BB3"/>
    <w:rsid w:val="004A5DCA"/>
    <w:rsid w:val="004B7065"/>
    <w:rsid w:val="004C76B4"/>
    <w:rsid w:val="004E6117"/>
    <w:rsid w:val="004F3DF7"/>
    <w:rsid w:val="00517259"/>
    <w:rsid w:val="00533C2A"/>
    <w:rsid w:val="0054173C"/>
    <w:rsid w:val="00553727"/>
    <w:rsid w:val="00554100"/>
    <w:rsid w:val="00561C5D"/>
    <w:rsid w:val="00565193"/>
    <w:rsid w:val="0056701B"/>
    <w:rsid w:val="00570497"/>
    <w:rsid w:val="005A44B9"/>
    <w:rsid w:val="005B6390"/>
    <w:rsid w:val="005B69D5"/>
    <w:rsid w:val="005D29AD"/>
    <w:rsid w:val="00606FED"/>
    <w:rsid w:val="00613B4F"/>
    <w:rsid w:val="00645B40"/>
    <w:rsid w:val="00661263"/>
    <w:rsid w:val="00672235"/>
    <w:rsid w:val="006732EE"/>
    <w:rsid w:val="0068332B"/>
    <w:rsid w:val="00693249"/>
    <w:rsid w:val="00694A99"/>
    <w:rsid w:val="006C1F16"/>
    <w:rsid w:val="006D62A4"/>
    <w:rsid w:val="006E10CD"/>
    <w:rsid w:val="006E3C11"/>
    <w:rsid w:val="006F67E2"/>
    <w:rsid w:val="00716511"/>
    <w:rsid w:val="00720652"/>
    <w:rsid w:val="00723E89"/>
    <w:rsid w:val="00755431"/>
    <w:rsid w:val="0078010B"/>
    <w:rsid w:val="00787C47"/>
    <w:rsid w:val="00792356"/>
    <w:rsid w:val="007977DF"/>
    <w:rsid w:val="007A01CA"/>
    <w:rsid w:val="007E6A5A"/>
    <w:rsid w:val="00801E45"/>
    <w:rsid w:val="00810EA2"/>
    <w:rsid w:val="008209F5"/>
    <w:rsid w:val="00852E88"/>
    <w:rsid w:val="00872346"/>
    <w:rsid w:val="008839C6"/>
    <w:rsid w:val="008874A6"/>
    <w:rsid w:val="00892137"/>
    <w:rsid w:val="008A1CFA"/>
    <w:rsid w:val="008B4B4A"/>
    <w:rsid w:val="008B5352"/>
    <w:rsid w:val="008B560D"/>
    <w:rsid w:val="008C3749"/>
    <w:rsid w:val="008C7403"/>
    <w:rsid w:val="008D2042"/>
    <w:rsid w:val="008D4FF2"/>
    <w:rsid w:val="0091249E"/>
    <w:rsid w:val="0091564D"/>
    <w:rsid w:val="00924166"/>
    <w:rsid w:val="0094211A"/>
    <w:rsid w:val="009770D1"/>
    <w:rsid w:val="00985211"/>
    <w:rsid w:val="009C1A9F"/>
    <w:rsid w:val="009C2CF6"/>
    <w:rsid w:val="009D0F41"/>
    <w:rsid w:val="009D3D18"/>
    <w:rsid w:val="009D476C"/>
    <w:rsid w:val="009D6983"/>
    <w:rsid w:val="009E0CAE"/>
    <w:rsid w:val="00A06792"/>
    <w:rsid w:val="00A13A4C"/>
    <w:rsid w:val="00A16739"/>
    <w:rsid w:val="00A27484"/>
    <w:rsid w:val="00A705B1"/>
    <w:rsid w:val="00A73315"/>
    <w:rsid w:val="00A77D36"/>
    <w:rsid w:val="00A90DFB"/>
    <w:rsid w:val="00A9185A"/>
    <w:rsid w:val="00A91D42"/>
    <w:rsid w:val="00A93CFE"/>
    <w:rsid w:val="00A93DAE"/>
    <w:rsid w:val="00AA4109"/>
    <w:rsid w:val="00AA4199"/>
    <w:rsid w:val="00AB4288"/>
    <w:rsid w:val="00AE11E7"/>
    <w:rsid w:val="00B218BA"/>
    <w:rsid w:val="00B7654B"/>
    <w:rsid w:val="00BA168B"/>
    <w:rsid w:val="00BD5AF8"/>
    <w:rsid w:val="00BD63E0"/>
    <w:rsid w:val="00BD71F2"/>
    <w:rsid w:val="00BE1B98"/>
    <w:rsid w:val="00BF6B5E"/>
    <w:rsid w:val="00C3479E"/>
    <w:rsid w:val="00C61164"/>
    <w:rsid w:val="00C6514C"/>
    <w:rsid w:val="00C92A41"/>
    <w:rsid w:val="00CA6DBC"/>
    <w:rsid w:val="00CD2E62"/>
    <w:rsid w:val="00CF1024"/>
    <w:rsid w:val="00D83D77"/>
    <w:rsid w:val="00DD52CD"/>
    <w:rsid w:val="00DE63C4"/>
    <w:rsid w:val="00E1740F"/>
    <w:rsid w:val="00E211CD"/>
    <w:rsid w:val="00E431C2"/>
    <w:rsid w:val="00E57EA1"/>
    <w:rsid w:val="00E66A91"/>
    <w:rsid w:val="00E93B46"/>
    <w:rsid w:val="00EA315B"/>
    <w:rsid w:val="00EC3C8C"/>
    <w:rsid w:val="00EC5013"/>
    <w:rsid w:val="00ED7B9F"/>
    <w:rsid w:val="00EE5012"/>
    <w:rsid w:val="00EE5620"/>
    <w:rsid w:val="00EF7A37"/>
    <w:rsid w:val="00F10B06"/>
    <w:rsid w:val="00F83BF3"/>
    <w:rsid w:val="00FA0D32"/>
    <w:rsid w:val="00FA4DB0"/>
    <w:rsid w:val="00FE12F3"/>
    <w:rsid w:val="00FF08D8"/>
    <w:rsid w:val="00FF6E4F"/>
    <w:rsid w:val="04770FAC"/>
    <w:rsid w:val="22BD603B"/>
    <w:rsid w:val="4A3F720D"/>
    <w:rsid w:val="759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58"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sz w:val="24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styleId="10">
    <w:name w:val="annotation subject"/>
    <w:basedOn w:val="3"/>
    <w:next w:val="3"/>
    <w:link w:val="38"/>
    <w:unhideWhenUsed/>
    <w:qFormat/>
    <w:uiPriority w:val="99"/>
    <w:rPr>
      <w:b/>
      <w:bCs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</w:rPr>
  </w:style>
  <w:style w:type="character" w:styleId="15">
    <w:name w:val="Hyperlink"/>
    <w:basedOn w:val="12"/>
    <w:unhideWhenUsed/>
    <w:qFormat/>
    <w:uiPriority w:val="99"/>
    <w:rPr>
      <w:color w:val="333333"/>
      <w:u w:val="non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2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2">
    <w:name w:val="标题 1 字符"/>
    <w:basedOn w:val="12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3">
    <w:name w:val="scjt_jj"/>
    <w:basedOn w:val="12"/>
    <w:qFormat/>
    <w:uiPriority w:val="0"/>
  </w:style>
  <w:style w:type="character" w:customStyle="1" w:styleId="24">
    <w:name w:val="column-name16"/>
    <w:basedOn w:val="12"/>
    <w:qFormat/>
    <w:uiPriority w:val="0"/>
    <w:rPr>
      <w:color w:val="124D83"/>
    </w:rPr>
  </w:style>
  <w:style w:type="character" w:customStyle="1" w:styleId="25">
    <w:name w:val="xubox_tabnow"/>
    <w:basedOn w:val="12"/>
    <w:qFormat/>
    <w:uiPriority w:val="0"/>
    <w:rPr>
      <w:bdr w:val="single" w:color="CCCCCC" w:sz="6" w:space="0"/>
      <w:shd w:val="clear" w:color="auto" w:fill="FFFFFF"/>
    </w:rPr>
  </w:style>
  <w:style w:type="character" w:customStyle="1" w:styleId="26">
    <w:name w:val="item-name5"/>
    <w:basedOn w:val="12"/>
    <w:qFormat/>
    <w:uiPriority w:val="0"/>
  </w:style>
  <w:style w:type="character" w:customStyle="1" w:styleId="27">
    <w:name w:val="scjt_right"/>
    <w:basedOn w:val="12"/>
    <w:qFormat/>
    <w:uiPriority w:val="0"/>
  </w:style>
  <w:style w:type="character" w:customStyle="1" w:styleId="28">
    <w:name w:val="mask"/>
    <w:basedOn w:val="12"/>
    <w:qFormat/>
    <w:uiPriority w:val="0"/>
    <w:rPr>
      <w:vanish/>
    </w:rPr>
  </w:style>
  <w:style w:type="character" w:customStyle="1" w:styleId="29">
    <w:name w:val="item-name4"/>
    <w:basedOn w:val="12"/>
    <w:qFormat/>
    <w:uiPriority w:val="0"/>
  </w:style>
  <w:style w:type="character" w:customStyle="1" w:styleId="30">
    <w:name w:val="column-name12"/>
    <w:basedOn w:val="12"/>
    <w:qFormat/>
    <w:uiPriority w:val="0"/>
    <w:rPr>
      <w:color w:val="383838"/>
    </w:rPr>
  </w:style>
  <w:style w:type="character" w:customStyle="1" w:styleId="31">
    <w:name w:val="pubdate-month"/>
    <w:basedOn w:val="12"/>
    <w:qFormat/>
    <w:uiPriority w:val="0"/>
    <w:rPr>
      <w:color w:val="FFFFFF"/>
      <w:sz w:val="24"/>
      <w:szCs w:val="24"/>
    </w:rPr>
  </w:style>
  <w:style w:type="character" w:customStyle="1" w:styleId="32">
    <w:name w:val="pubdate-day"/>
    <w:basedOn w:val="12"/>
    <w:qFormat/>
    <w:uiPriority w:val="0"/>
  </w:style>
  <w:style w:type="character" w:customStyle="1" w:styleId="33">
    <w:name w:val="页眉 Char"/>
    <w:uiPriority w:val="99"/>
    <w:rPr>
      <w:sz w:val="18"/>
      <w:szCs w:val="18"/>
    </w:rPr>
  </w:style>
  <w:style w:type="character" w:customStyle="1" w:styleId="34">
    <w:name w:val="left"/>
    <w:basedOn w:val="12"/>
    <w:qFormat/>
    <w:uiPriority w:val="0"/>
  </w:style>
  <w:style w:type="character" w:customStyle="1" w:styleId="35">
    <w:name w:val="item-name2"/>
    <w:basedOn w:val="12"/>
    <w:qFormat/>
    <w:uiPriority w:val="0"/>
  </w:style>
  <w:style w:type="character" w:customStyle="1" w:styleId="36">
    <w:name w:val="item-name7"/>
    <w:basedOn w:val="12"/>
    <w:qFormat/>
    <w:uiPriority w:val="0"/>
  </w:style>
  <w:style w:type="character" w:customStyle="1" w:styleId="37">
    <w:name w:val="column-name15"/>
    <w:basedOn w:val="12"/>
    <w:qFormat/>
    <w:uiPriority w:val="0"/>
    <w:rPr>
      <w:color w:val="124D83"/>
    </w:rPr>
  </w:style>
  <w:style w:type="character" w:customStyle="1" w:styleId="38">
    <w:name w:val="批注主题 字符1"/>
    <w:link w:val="10"/>
    <w:qFormat/>
    <w:uiPriority w:val="99"/>
    <w:rPr>
      <w:b/>
      <w:bCs/>
    </w:rPr>
  </w:style>
  <w:style w:type="character" w:customStyle="1" w:styleId="39">
    <w:name w:val="news_title_fbsj"/>
    <w:basedOn w:val="12"/>
    <w:qFormat/>
    <w:uiPriority w:val="0"/>
  </w:style>
  <w:style w:type="character" w:customStyle="1" w:styleId="40">
    <w:name w:val="HTML 预设格式 字符1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scjt_bt"/>
    <w:basedOn w:val="12"/>
    <w:qFormat/>
    <w:uiPriority w:val="0"/>
  </w:style>
  <w:style w:type="character" w:customStyle="1" w:styleId="42">
    <w:name w:val="scjt_lmmc1"/>
    <w:basedOn w:val="12"/>
    <w:qFormat/>
    <w:uiPriority w:val="0"/>
  </w:style>
  <w:style w:type="character" w:customStyle="1" w:styleId="43">
    <w:name w:val="right"/>
    <w:basedOn w:val="12"/>
    <w:qFormat/>
    <w:uiPriority w:val="0"/>
  </w:style>
  <w:style w:type="character" w:customStyle="1" w:styleId="44">
    <w:name w:val="页脚 Char"/>
    <w:qFormat/>
    <w:uiPriority w:val="99"/>
    <w:rPr>
      <w:sz w:val="18"/>
      <w:szCs w:val="18"/>
    </w:rPr>
  </w:style>
  <w:style w:type="character" w:customStyle="1" w:styleId="45">
    <w:name w:val="column-name14"/>
    <w:basedOn w:val="12"/>
    <w:qFormat/>
    <w:uiPriority w:val="0"/>
    <w:rPr>
      <w:color w:val="124D83"/>
    </w:rPr>
  </w:style>
  <w:style w:type="character" w:customStyle="1" w:styleId="46">
    <w:name w:val="item-name1"/>
    <w:basedOn w:val="12"/>
    <w:qFormat/>
    <w:uiPriority w:val="0"/>
  </w:style>
  <w:style w:type="character" w:customStyle="1" w:styleId="47">
    <w:name w:val="news_meta"/>
    <w:basedOn w:val="12"/>
    <w:qFormat/>
    <w:uiPriority w:val="0"/>
  </w:style>
  <w:style w:type="character" w:customStyle="1" w:styleId="48">
    <w:name w:val="item-name6"/>
    <w:basedOn w:val="12"/>
    <w:qFormat/>
    <w:uiPriority w:val="0"/>
  </w:style>
  <w:style w:type="character" w:customStyle="1" w:styleId="49">
    <w:name w:val="scjt_left"/>
    <w:basedOn w:val="12"/>
    <w:uiPriority w:val="0"/>
  </w:style>
  <w:style w:type="character" w:customStyle="1" w:styleId="50">
    <w:name w:val="scjt_lmmc"/>
    <w:basedOn w:val="12"/>
    <w:qFormat/>
    <w:uiPriority w:val="0"/>
    <w:rPr>
      <w:color w:val="FFFFFF"/>
      <w:sz w:val="25"/>
      <w:szCs w:val="25"/>
      <w:shd w:val="clear" w:color="auto" w:fill="000000"/>
    </w:rPr>
  </w:style>
  <w:style w:type="character" w:customStyle="1" w:styleId="51">
    <w:name w:val="批注文字 字符1"/>
    <w:semiHidden/>
    <w:qFormat/>
    <w:uiPriority w:val="99"/>
    <w:rPr>
      <w:kern w:val="2"/>
      <w:sz w:val="21"/>
      <w:szCs w:val="22"/>
    </w:rPr>
  </w:style>
  <w:style w:type="character" w:customStyle="1" w:styleId="52">
    <w:name w:val="批注框文本 字符1"/>
    <w:qFormat/>
    <w:uiPriority w:val="99"/>
    <w:rPr>
      <w:sz w:val="18"/>
      <w:szCs w:val="18"/>
    </w:rPr>
  </w:style>
  <w:style w:type="character" w:customStyle="1" w:styleId="53">
    <w:name w:val="column-name13"/>
    <w:basedOn w:val="12"/>
    <w:qFormat/>
    <w:uiPriority w:val="0"/>
    <w:rPr>
      <w:color w:val="FFFFFF"/>
    </w:rPr>
  </w:style>
  <w:style w:type="character" w:customStyle="1" w:styleId="54">
    <w:name w:val="news_title"/>
    <w:basedOn w:val="12"/>
    <w:qFormat/>
    <w:uiPriority w:val="0"/>
  </w:style>
  <w:style w:type="character" w:customStyle="1" w:styleId="55">
    <w:name w:val="item-name8"/>
    <w:basedOn w:val="12"/>
    <w:qFormat/>
    <w:uiPriority w:val="0"/>
  </w:style>
  <w:style w:type="character" w:customStyle="1" w:styleId="56">
    <w:name w:val="article_title"/>
    <w:qFormat/>
    <w:uiPriority w:val="0"/>
    <w:rPr>
      <w:rFonts w:ascii="Times New Roman" w:hAnsi="Times New Roman" w:eastAsia="宋体" w:cs="Times New Roman"/>
    </w:rPr>
  </w:style>
  <w:style w:type="character" w:customStyle="1" w:styleId="57">
    <w:name w:val="item-name9"/>
    <w:basedOn w:val="12"/>
    <w:qFormat/>
    <w:uiPriority w:val="0"/>
  </w:style>
  <w:style w:type="character" w:customStyle="1" w:styleId="58">
    <w:name w:val="批注文字 字符2"/>
    <w:link w:val="3"/>
    <w:qFormat/>
    <w:uiPriority w:val="99"/>
  </w:style>
  <w:style w:type="character" w:customStyle="1" w:styleId="59">
    <w:name w:val="item-name"/>
    <w:basedOn w:val="12"/>
    <w:qFormat/>
    <w:uiPriority w:val="0"/>
  </w:style>
  <w:style w:type="character" w:customStyle="1" w:styleId="60">
    <w:name w:val="item-name3"/>
    <w:basedOn w:val="12"/>
    <w:qFormat/>
    <w:uiPriority w:val="0"/>
  </w:style>
  <w:style w:type="character" w:customStyle="1" w:styleId="61">
    <w:name w:val="pause"/>
    <w:basedOn w:val="12"/>
    <w:qFormat/>
    <w:uiPriority w:val="0"/>
    <w:rPr>
      <w:vanish/>
    </w:rPr>
  </w:style>
  <w:style w:type="character" w:customStyle="1" w:styleId="62">
    <w:name w:val="批注文字 字符"/>
    <w:basedOn w:val="1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63">
    <w:name w:val="批注主题 字符"/>
    <w:basedOn w:val="62"/>
    <w:semiHidden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64">
    <w:name w:val="HTML 预设格式 字符"/>
    <w:basedOn w:val="12"/>
    <w:semiHidden/>
    <w:qFormat/>
    <w:uiPriority w:val="99"/>
    <w:rPr>
      <w:rFonts w:ascii="Courier New" w:hAnsi="Courier New" w:eastAsia="宋体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EE35B7-51C4-4A52-AC8B-294EDE60F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370</Words>
  <Characters>2109</Characters>
  <Lines>17</Lines>
  <Paragraphs>4</Paragraphs>
  <TotalTime>808</TotalTime>
  <ScaleCrop>false</ScaleCrop>
  <LinksUpToDate>false</LinksUpToDate>
  <CharactersWithSpaces>2475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2019-11-22T01:43:00Z</dcterms:created>
  <dc:creator>USER</dc:creator>
  <cp:lastModifiedBy>布拉涅特斯</cp:lastModifiedBy>
  <cp:lastPrinted>2019-11-27T03:29:00Z</cp:lastPrinted>
  <dcterms:modified xsi:type="dcterms:W3CDTF">2023-11-16T01:20:29Z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4E265C9499AA475FB1B85653CF12332F_12</vt:lpwstr>
  </property>
</Properties>
</file>